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7FF66C7" w:rsidR="008E28A2" w:rsidRPr="003B06A2" w:rsidRDefault="002F50C4" w:rsidP="002F50C4">
      <w:pPr>
        <w:tabs>
          <w:tab w:val="decimal" w:pos="9638"/>
        </w:tabs>
        <w:spacing w:after="0" w:line="276" w:lineRule="auto"/>
        <w:jc w:val="center"/>
        <w:rPr>
          <w:rFonts w:ascii="Times New Roman" w:hAnsi="Times New Roman"/>
          <w:b/>
          <w:color w:val="000000" w:themeColor="text1"/>
          <w:sz w:val="24"/>
          <w:szCs w:val="24"/>
        </w:rPr>
      </w:pPr>
      <w:bookmarkStart w:id="0" w:name="_GoBack"/>
      <w:r w:rsidRPr="002F50C4">
        <w:rPr>
          <w:rFonts w:ascii="Times New Roman" w:hAnsi="Times New Roman"/>
          <w:b/>
          <w:color w:val="000000" w:themeColor="text1"/>
          <w:sz w:val="24"/>
          <w:szCs w:val="24"/>
        </w:rPr>
        <w:t>PRIĖMIMO IR INTEGRACIJOS AGENTŪROS VEIKLOS ŽINOMUMO IR KOMUNIKACIJOS SKLAIDOS ANALIZĖS ATLIKIMO</w:t>
      </w:r>
      <w:r>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bookmarkEnd w:id="0"/>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77D7EC71" w:rsidR="008E28A2" w:rsidRPr="002F50C4" w:rsidRDefault="008E28A2" w:rsidP="002F50C4">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B342AE" w:rsidRPr="002F50C4">
        <w:rPr>
          <w:rFonts w:ascii="Times New Roman" w:hAnsi="Times New Roman"/>
          <w:color w:val="000000" w:themeColor="text1"/>
          <w:sz w:val="24"/>
          <w:szCs w:val="24"/>
        </w:rPr>
        <w:t xml:space="preserve"> </w:t>
      </w:r>
      <w:r w:rsidR="002F50C4" w:rsidRPr="002F50C4">
        <w:rPr>
          <w:rFonts w:ascii="Times New Roman" w:hAnsi="Times New Roman"/>
          <w:color w:val="000000" w:themeColor="text1"/>
          <w:sz w:val="24"/>
          <w:szCs w:val="24"/>
        </w:rPr>
        <w:t>Priėmimo ir integracijos agentūros veiklos žinomumo ir komunikacijos sklaidos analizės atlikimo</w:t>
      </w:r>
      <w:r w:rsidR="002F50C4" w:rsidRPr="002F50C4">
        <w:rPr>
          <w:rFonts w:ascii="Times New Roman" w:hAnsi="Times New Roman"/>
          <w:color w:val="000000" w:themeColor="text1"/>
          <w:sz w:val="24"/>
          <w:szCs w:val="24"/>
        </w:rPr>
        <w:t xml:space="preserve"> </w:t>
      </w:r>
      <w:r w:rsidR="00216215" w:rsidRPr="002F50C4">
        <w:rPr>
          <w:rFonts w:ascii="Times New Roman" w:hAnsi="Times New Roman"/>
          <w:color w:val="000000" w:themeColor="text1"/>
          <w:sz w:val="24"/>
          <w:szCs w:val="24"/>
        </w:rPr>
        <w:t xml:space="preserve">paslaugų </w:t>
      </w:r>
      <w:r w:rsidRPr="002F50C4">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44746EF4" w:rsidR="005C150B"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218618FF"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203873">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4929D7B8"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203873">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37A6D3E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203873">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35CC4148" w:rsidR="008E28A2" w:rsidRPr="00203873"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objektas –</w:t>
      </w:r>
      <w:r w:rsidR="002F50C4" w:rsidRPr="002F50C4">
        <w:rPr>
          <w:rFonts w:ascii="Times New Roman" w:hAnsi="Times New Roman"/>
          <w:color w:val="000000" w:themeColor="text1"/>
          <w:sz w:val="24"/>
          <w:szCs w:val="24"/>
        </w:rPr>
        <w:t xml:space="preserve"> </w:t>
      </w:r>
      <w:r w:rsidR="002F50C4" w:rsidRPr="002F50C4">
        <w:rPr>
          <w:rFonts w:ascii="Times New Roman" w:hAnsi="Times New Roman"/>
          <w:color w:val="000000" w:themeColor="text1"/>
          <w:sz w:val="24"/>
          <w:szCs w:val="24"/>
        </w:rPr>
        <w:t>Priėmimo ir integracijos agentūros veiklos žinomumo ir komunikacijos sklaidos analizės atlikimo paslaug</w:t>
      </w:r>
      <w:r w:rsidR="002F50C4">
        <w:rPr>
          <w:rFonts w:ascii="Times New Roman" w:hAnsi="Times New Roman"/>
          <w:color w:val="000000" w:themeColor="text1"/>
          <w:sz w:val="24"/>
          <w:szCs w:val="24"/>
        </w:rPr>
        <w:t>os</w:t>
      </w:r>
      <w:r w:rsidR="005C150B">
        <w:rPr>
          <w:rFonts w:ascii="Times New Roman" w:hAnsi="Times New Roman"/>
          <w:color w:val="000000" w:themeColor="text1"/>
          <w:sz w:val="24"/>
          <w:szCs w:val="24"/>
        </w:rPr>
        <w:t>.</w:t>
      </w:r>
      <w:r w:rsidR="00203873">
        <w:rPr>
          <w:rFonts w:ascii="Times New Roman" w:hAnsi="Times New Roman"/>
          <w:color w:val="000000" w:themeColor="text1"/>
          <w:sz w:val="24"/>
          <w:szCs w:val="24"/>
        </w:rPr>
        <w:t xml:space="preserve"> Išsamus paslaugų aprašymas ir reikalavimai pateikiami pirkimo sąlygų 2 priede „Techninė specifikacija“.</w:t>
      </w:r>
    </w:p>
    <w:p w14:paraId="13FF28C6" w14:textId="779023C9" w:rsidR="007558CF" w:rsidRPr="007B4AF0" w:rsidRDefault="007B4AF0" w:rsidP="007B4AF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B4AF0">
        <w:rPr>
          <w:rFonts w:ascii="Times New Roman" w:hAnsi="Times New Roman"/>
          <w:noProof/>
          <w:sz w:val="24"/>
          <w:szCs w:val="24"/>
        </w:rPr>
        <w:t>Paslaug</w:t>
      </w:r>
      <w:r w:rsidR="002F50C4">
        <w:rPr>
          <w:rFonts w:ascii="Times New Roman" w:hAnsi="Times New Roman"/>
          <w:noProof/>
          <w:sz w:val="24"/>
          <w:szCs w:val="24"/>
        </w:rPr>
        <w:t>os</w:t>
      </w:r>
      <w:r w:rsidRPr="007B4AF0">
        <w:rPr>
          <w:rFonts w:ascii="Times New Roman" w:hAnsi="Times New Roman"/>
          <w:noProof/>
          <w:sz w:val="24"/>
          <w:szCs w:val="24"/>
        </w:rPr>
        <w:t xml:space="preserve"> turi būti suteikt</w:t>
      </w:r>
      <w:r w:rsidR="002F50C4">
        <w:rPr>
          <w:rFonts w:ascii="Times New Roman" w:hAnsi="Times New Roman"/>
          <w:noProof/>
          <w:sz w:val="24"/>
          <w:szCs w:val="24"/>
        </w:rPr>
        <w:t>os</w:t>
      </w:r>
      <w:r w:rsidRPr="007B4AF0">
        <w:rPr>
          <w:rFonts w:ascii="Times New Roman" w:hAnsi="Times New Roman"/>
          <w:noProof/>
          <w:sz w:val="24"/>
          <w:szCs w:val="24"/>
        </w:rPr>
        <w:t xml:space="preserve"> iki </w:t>
      </w:r>
      <w:r w:rsidR="002F50C4" w:rsidRPr="002F50C4">
        <w:rPr>
          <w:rFonts w:ascii="Times New Roman" w:hAnsi="Times New Roman"/>
          <w:noProof/>
          <w:sz w:val="24"/>
          <w:szCs w:val="24"/>
        </w:rPr>
        <w:t>2026 m. lapkričio 10 d</w:t>
      </w:r>
      <w:r w:rsidR="002F50C4">
        <w:rPr>
          <w:rFonts w:ascii="Times New Roman" w:hAnsi="Times New Roman"/>
          <w:noProof/>
          <w:sz w:val="24"/>
          <w:szCs w:val="24"/>
        </w:rPr>
        <w:t>.</w:t>
      </w:r>
    </w:p>
    <w:p w14:paraId="435958D6" w14:textId="6E878041"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2F50C4" w:rsidRPr="002F50C4">
        <w:rPr>
          <w:rFonts w:ascii="Times New Roman" w:hAnsi="Times New Roman"/>
          <w:noProof/>
          <w:sz w:val="24"/>
          <w:szCs w:val="24"/>
        </w:rPr>
        <w:t>79311000-7</w:t>
      </w:r>
      <w:r w:rsidR="00CA60F3" w:rsidRPr="00CA60F3">
        <w:rPr>
          <w:rFonts w:ascii="Times New Roman" w:hAnsi="Times New Roman"/>
          <w:noProof/>
          <w:sz w:val="24"/>
          <w:szCs w:val="24"/>
        </w:rPr>
        <w:t>.</w:t>
      </w:r>
    </w:p>
    <w:p w14:paraId="661362A2" w14:textId="53911207" w:rsidR="00696F91" w:rsidRPr="007F6352"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7F6352">
        <w:rPr>
          <w:rFonts w:ascii="Times New Roman" w:hAnsi="Times New Roman"/>
          <w:noProof/>
          <w:sz w:val="24"/>
          <w:szCs w:val="24"/>
        </w:rPr>
        <w:t>.</w:t>
      </w:r>
    </w:p>
    <w:p w14:paraId="5F3DE6C6" w14:textId="0A0FC89E"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2F50C4" w:rsidRPr="002F50C4">
        <w:rPr>
          <w:rFonts w:ascii="Times New Roman" w:hAnsi="Times New Roman"/>
          <w:b/>
          <w:noProof/>
          <w:sz w:val="24"/>
          <w:szCs w:val="24"/>
        </w:rPr>
        <w:t>4235,00</w:t>
      </w:r>
      <w:r w:rsidR="007558CF">
        <w:rPr>
          <w:rFonts w:ascii="Times New Roman" w:hAnsi="Times New Roman"/>
          <w:b/>
          <w:noProof/>
          <w:sz w:val="24"/>
          <w:szCs w:val="24"/>
        </w:rPr>
        <w:t xml:space="preserve"> Eur </w:t>
      </w:r>
      <w:r w:rsidR="007558CF" w:rsidRPr="007558CF">
        <w:rPr>
          <w:rFonts w:ascii="Times New Roman" w:hAnsi="Times New Roman"/>
          <w:noProof/>
          <w:sz w:val="24"/>
          <w:szCs w:val="24"/>
        </w:rPr>
        <w:t>įskaitant visus mokesčius.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7AC976E3" w:rsidR="00723F84" w:rsidRDefault="002F50C4"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557531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p>
    <w:p w14:paraId="421B2C03" w14:textId="22B2462E" w:rsidR="009E4CB0" w:rsidRPr="009E4CB0" w:rsidRDefault="009E4CB0" w:rsidP="002F50C4">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 xml:space="preserve">4.4.4.2. Paslaugų teikėjas užtikrina, kad </w:t>
      </w:r>
      <w:r w:rsidR="002F50C4">
        <w:rPr>
          <w:rFonts w:ascii="Times New Roman" w:hAnsi="Times New Roman"/>
          <w:color w:val="000000" w:themeColor="text1"/>
          <w:sz w:val="24"/>
          <w:szCs w:val="24"/>
        </w:rPr>
        <w:t>bus</w:t>
      </w:r>
      <w:r w:rsidRPr="009E4CB0">
        <w:rPr>
          <w:rFonts w:ascii="Times New Roman" w:hAnsi="Times New Roman"/>
          <w:color w:val="000000" w:themeColor="text1"/>
          <w:sz w:val="24"/>
          <w:szCs w:val="24"/>
        </w:rPr>
        <w:t xml:space="preserve"> taupiai naudojama elektros energija ir mažinamas nereikalingas atliekų kiekis;</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DDAE530"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2F50C4">
        <w:rPr>
          <w:rFonts w:ascii="Times New Roman" w:hAnsi="Times New Roman"/>
          <w:b/>
          <w:color w:val="000000" w:themeColor="text1"/>
          <w:sz w:val="24"/>
          <w:szCs w:val="24"/>
        </w:rPr>
        <w:t>rugpjūčio</w:t>
      </w:r>
      <w:r w:rsidR="00B11669" w:rsidRPr="00CA6B35">
        <w:rPr>
          <w:rFonts w:ascii="Times New Roman" w:hAnsi="Times New Roman"/>
          <w:b/>
          <w:color w:val="000000" w:themeColor="text1"/>
          <w:sz w:val="24"/>
          <w:szCs w:val="24"/>
        </w:rPr>
        <w:t xml:space="preserve"> </w:t>
      </w:r>
      <w:r w:rsidR="002F50C4">
        <w:rPr>
          <w:rFonts w:ascii="Times New Roman" w:hAnsi="Times New Roman"/>
          <w:b/>
          <w:color w:val="000000" w:themeColor="text1"/>
          <w:sz w:val="24"/>
          <w:szCs w:val="24"/>
        </w:rPr>
        <w:t>5</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5371340"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6E71BE">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w:t>
      </w:r>
      <w:r w:rsidRPr="003B06A2">
        <w:rPr>
          <w:rFonts w:ascii="Times New Roman" w:hAnsi="Times New Roman"/>
          <w:color w:val="000000" w:themeColor="text1"/>
          <w:sz w:val="24"/>
          <w:szCs w:val="24"/>
        </w:rPr>
        <w:lastRenderedPageBreak/>
        <w:t xml:space="preserve">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lastRenderedPageBreak/>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w:t>
      </w:r>
      <w:r w:rsidRPr="003B06A2">
        <w:rPr>
          <w:rFonts w:ascii="Times New Roman" w:eastAsia="Times New Roman" w:hAnsi="Times New Roman"/>
          <w:color w:val="000000" w:themeColor="text1"/>
          <w:sz w:val="24"/>
          <w:szCs w:val="24"/>
        </w:rPr>
        <w:lastRenderedPageBreak/>
        <w:t>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38D52CF8" w14:textId="0283F9E3" w:rsidR="00AE0CEF" w:rsidRPr="002F50C4" w:rsidRDefault="00AE0CEF" w:rsidP="002F50C4">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r w:rsidR="002F50C4">
        <w:rPr>
          <w:rFonts w:ascii="Times New Roman" w:eastAsia="Times New Roman" w:hAnsi="Times New Roman"/>
          <w:b/>
          <w:sz w:val="24"/>
          <w:szCs w:val="24"/>
        </w:rPr>
        <w:t xml:space="preserve"> </w:t>
      </w:r>
      <w:r w:rsidR="00783489" w:rsidRPr="00F6329C">
        <w:rPr>
          <w:rFonts w:ascii="Times New Roman" w:eastAsia="Times New Roman" w:hAnsi="Times New Roman"/>
          <w:b/>
          <w:sz w:val="24"/>
          <w:szCs w:val="24"/>
        </w:rPr>
        <w:t xml:space="preserve">DĖL </w:t>
      </w:r>
      <w:r w:rsidR="008A3D7E">
        <w:rPr>
          <w:rFonts w:ascii="Times New Roman" w:hAnsi="Times New Roman"/>
          <w:b/>
          <w:color w:val="000000" w:themeColor="text1"/>
          <w:sz w:val="24"/>
          <w:szCs w:val="24"/>
        </w:rPr>
        <w:t xml:space="preserve"> </w:t>
      </w:r>
      <w:r w:rsidR="002F50C4" w:rsidRPr="002F50C4">
        <w:rPr>
          <w:rFonts w:ascii="Times New Roman" w:hAnsi="Times New Roman"/>
          <w:b/>
          <w:color w:val="000000" w:themeColor="text1"/>
          <w:sz w:val="24"/>
          <w:szCs w:val="24"/>
        </w:rPr>
        <w:t>PRIĖMIMO IR INTEGRACIJOS AGENTŪROS VEIKLOS ŽINOMUMO IR</w:t>
      </w:r>
      <w:r w:rsidR="002F50C4">
        <w:rPr>
          <w:rFonts w:ascii="Times New Roman" w:hAnsi="Times New Roman"/>
          <w:b/>
          <w:color w:val="000000" w:themeColor="text1"/>
          <w:sz w:val="24"/>
          <w:szCs w:val="24"/>
        </w:rPr>
        <w:t xml:space="preserve"> </w:t>
      </w:r>
      <w:r w:rsidR="002F50C4" w:rsidRPr="002F50C4">
        <w:rPr>
          <w:rFonts w:ascii="Times New Roman" w:hAnsi="Times New Roman"/>
          <w:b/>
          <w:color w:val="000000" w:themeColor="text1"/>
          <w:sz w:val="24"/>
          <w:szCs w:val="24"/>
        </w:rPr>
        <w:t>KOMUNIKACIJOS SKLAIDOS ANALIZĖS ATLIKIMO</w:t>
      </w:r>
      <w:r w:rsidR="002F50C4">
        <w:rPr>
          <w:rFonts w:ascii="Times New Roman" w:hAnsi="Times New Roman"/>
          <w:b/>
          <w:color w:val="000000" w:themeColor="text1"/>
          <w:sz w:val="24"/>
          <w:szCs w:val="24"/>
        </w:rPr>
        <w:t xml:space="preserve"> </w:t>
      </w:r>
      <w:r w:rsidR="002F50C4"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6419C185"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31"/>
        <w:gridCol w:w="1842"/>
        <w:gridCol w:w="1560"/>
        <w:gridCol w:w="1275"/>
        <w:gridCol w:w="1560"/>
      </w:tblGrid>
      <w:tr w:rsidR="009E4CB0" w:rsidRPr="00541F2B" w14:paraId="4873D552" w14:textId="77777777" w:rsidTr="00CC4AF3">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431"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2" w:type="dxa"/>
          </w:tcPr>
          <w:p w14:paraId="1A8B622E" w14:textId="09EA5A76" w:rsidR="009E4CB0" w:rsidRPr="001D5962" w:rsidRDefault="00CC4AF3" w:rsidP="00B8636B">
            <w:pPr>
              <w:tabs>
                <w:tab w:val="left" w:pos="200"/>
              </w:tabs>
              <w:jc w:val="center"/>
              <w:rPr>
                <w:rFonts w:ascii="Times New Roman" w:hAnsi="Times New Roman"/>
                <w:sz w:val="24"/>
                <w:szCs w:val="24"/>
              </w:rPr>
            </w:pPr>
            <w:r>
              <w:rPr>
                <w:rFonts w:ascii="Times New Roman" w:hAnsi="Times New Roman"/>
                <w:sz w:val="24"/>
                <w:szCs w:val="24"/>
              </w:rPr>
              <w:t>Kiekis vnt.</w:t>
            </w:r>
          </w:p>
        </w:tc>
        <w:tc>
          <w:tcPr>
            <w:tcW w:w="1560" w:type="dxa"/>
          </w:tcPr>
          <w:p w14:paraId="704231BC" w14:textId="3D2D64E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be PVM</w:t>
            </w:r>
          </w:p>
        </w:tc>
        <w:tc>
          <w:tcPr>
            <w:tcW w:w="1275" w:type="dxa"/>
          </w:tcPr>
          <w:p w14:paraId="367AEDE3" w14:textId="2E2F06A5" w:rsidR="009E4CB0" w:rsidRPr="001D5962" w:rsidRDefault="00CC4AF3"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1C42D52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su PVM</w:t>
            </w:r>
          </w:p>
        </w:tc>
      </w:tr>
      <w:tr w:rsidR="009E4CB0" w:rsidRPr="00541F2B" w14:paraId="2D2A6DED" w14:textId="77777777" w:rsidTr="00CC4AF3">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842"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CC4AF3">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425C8943" w14:textId="1E84B9E7" w:rsidR="009E4CB0" w:rsidRPr="009D2671" w:rsidRDefault="002F50C4" w:rsidP="0023388F">
            <w:pPr>
              <w:rPr>
                <w:rFonts w:ascii="Times New Roman" w:hAnsi="Times New Roman"/>
                <w:sz w:val="24"/>
                <w:szCs w:val="24"/>
              </w:rPr>
            </w:pPr>
            <w:r w:rsidRPr="002F50C4">
              <w:rPr>
                <w:rFonts w:ascii="Times New Roman" w:hAnsi="Times New Roman"/>
                <w:color w:val="000000" w:themeColor="text1"/>
                <w:sz w:val="24"/>
                <w:szCs w:val="24"/>
              </w:rPr>
              <w:t>Priėmimo ir integracijos</w:t>
            </w:r>
            <w:r>
              <w:rPr>
                <w:rFonts w:ascii="Times New Roman" w:hAnsi="Times New Roman"/>
                <w:color w:val="000000" w:themeColor="text1"/>
                <w:sz w:val="24"/>
                <w:szCs w:val="24"/>
              </w:rPr>
              <w:t xml:space="preserve"> </w:t>
            </w:r>
            <w:r w:rsidRPr="002F50C4">
              <w:rPr>
                <w:rFonts w:ascii="Times New Roman" w:hAnsi="Times New Roman"/>
                <w:color w:val="000000" w:themeColor="text1"/>
                <w:sz w:val="24"/>
                <w:szCs w:val="24"/>
              </w:rPr>
              <w:t>agentūros veiklos žinomumo ir komunikacijos sklaidos analizės atlikimo paslaug</w:t>
            </w:r>
            <w:r>
              <w:rPr>
                <w:rFonts w:ascii="Times New Roman" w:hAnsi="Times New Roman"/>
                <w:color w:val="000000" w:themeColor="text1"/>
                <w:sz w:val="24"/>
                <w:szCs w:val="24"/>
              </w:rPr>
              <w:t>os</w:t>
            </w:r>
          </w:p>
        </w:tc>
        <w:tc>
          <w:tcPr>
            <w:tcW w:w="1842"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560"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2E0B8E48" w14:textId="77777777" w:rsidR="00CC4AF3" w:rsidRDefault="00CC4AF3"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6C916816" w:rsidR="00B80E24" w:rsidRDefault="00B80E24"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15313AC" w14:textId="0B2674BF"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5D596CE5" w14:textId="4AB37F28"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32205EF" w14:textId="2B4A8AF3"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5C1600C" w14:textId="468E890C"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52C5F48" w14:textId="725049C2"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0D2A9A4E" w14:textId="366E5B82"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42B95468" w14:textId="5AE7ECE0"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0E773814" w14:textId="0EAEFD8F"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A420374" w14:textId="018B754D"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5E1FBD9F" w14:textId="02BA74E1"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46227AD5" w14:textId="33CF25D5"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CEB2ECD" w14:textId="556F40D1"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81683AB" w14:textId="02C606A0"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01F8D0E4" w14:textId="4172671D"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5CEA9B6B" w14:textId="2F5952E8"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10CE4B80" w14:textId="55333056"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7D22DFB" w14:textId="77777777"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0A1DA800" w14:textId="77777777" w:rsidR="006E71BE" w:rsidRDefault="006E71BE" w:rsidP="006E71BE">
      <w:pPr>
        <w:jc w:val="center"/>
        <w:rPr>
          <w:b/>
          <w:bCs/>
          <w:szCs w:val="24"/>
        </w:rPr>
      </w:pPr>
    </w:p>
    <w:p w14:paraId="6979321E" w14:textId="77777777" w:rsidR="002F50C4" w:rsidRDefault="002F50C4" w:rsidP="002F50C4">
      <w:pPr>
        <w:spacing w:line="360" w:lineRule="auto"/>
        <w:jc w:val="center"/>
        <w:rPr>
          <w:rFonts w:ascii="Times New Roman" w:hAnsi="Times New Roman"/>
          <w:b/>
          <w:sz w:val="24"/>
          <w:szCs w:val="24"/>
        </w:rPr>
      </w:pPr>
    </w:p>
    <w:p w14:paraId="123DAEE6" w14:textId="43492E12" w:rsidR="002F50C4" w:rsidRPr="002F50C4" w:rsidRDefault="002F50C4" w:rsidP="002F50C4">
      <w:pPr>
        <w:spacing w:line="360" w:lineRule="auto"/>
        <w:jc w:val="center"/>
        <w:rPr>
          <w:rFonts w:ascii="Times New Roman" w:hAnsi="Times New Roman"/>
          <w:b/>
          <w:sz w:val="24"/>
          <w:szCs w:val="24"/>
        </w:rPr>
      </w:pPr>
      <w:r w:rsidRPr="002F50C4">
        <w:rPr>
          <w:rFonts w:ascii="Times New Roman" w:hAnsi="Times New Roman"/>
          <w:b/>
          <w:sz w:val="24"/>
          <w:szCs w:val="24"/>
        </w:rPr>
        <w:t>PRIĖMIMO IR INTEGRACIJOS AGENTŪROS VEIKLOS ŽINOMUMO IR KOMUNIKACIJOS SKLAIDOS ANALIZĖS PASLAUGŲ TECHNINĖ SPECIFIKACIJA</w:t>
      </w:r>
    </w:p>
    <w:p w14:paraId="636B5EEE" w14:textId="77777777" w:rsidR="002F50C4" w:rsidRPr="002F50C4" w:rsidRDefault="002F50C4" w:rsidP="002F50C4">
      <w:pPr>
        <w:spacing w:line="360" w:lineRule="auto"/>
        <w:jc w:val="center"/>
        <w:rPr>
          <w:rFonts w:ascii="Times New Roman" w:hAnsi="Times New Roman"/>
          <w:b/>
          <w:sz w:val="24"/>
          <w:szCs w:val="24"/>
        </w:rPr>
      </w:pPr>
    </w:p>
    <w:p w14:paraId="2925C533" w14:textId="77777777" w:rsidR="002F50C4" w:rsidRPr="002F50C4" w:rsidRDefault="002F50C4" w:rsidP="002F50C4">
      <w:pPr>
        <w:pStyle w:val="Sraopastraipa"/>
        <w:ind w:left="1080"/>
        <w:jc w:val="center"/>
        <w:rPr>
          <w:rFonts w:ascii="Times New Roman" w:hAnsi="Times New Roman"/>
          <w:b/>
          <w:bCs/>
          <w:sz w:val="24"/>
          <w:szCs w:val="24"/>
        </w:rPr>
      </w:pPr>
      <w:r w:rsidRPr="002F50C4">
        <w:rPr>
          <w:rFonts w:ascii="Times New Roman" w:hAnsi="Times New Roman"/>
          <w:b/>
          <w:bCs/>
          <w:sz w:val="24"/>
          <w:szCs w:val="24"/>
        </w:rPr>
        <w:t>ĮVADINĖ INFORMACIJA</w:t>
      </w:r>
    </w:p>
    <w:p w14:paraId="290B0F38" w14:textId="77777777" w:rsidR="002F50C4" w:rsidRPr="002F50C4" w:rsidRDefault="002F50C4" w:rsidP="002F50C4">
      <w:pPr>
        <w:pStyle w:val="Sraopastraipa"/>
        <w:ind w:left="1080"/>
        <w:rPr>
          <w:rFonts w:ascii="Times New Roman" w:hAnsi="Times New Roman"/>
          <w:b/>
          <w:bCs/>
          <w:sz w:val="24"/>
          <w:szCs w:val="24"/>
        </w:rPr>
      </w:pPr>
    </w:p>
    <w:p w14:paraId="28539B15" w14:textId="77777777" w:rsidR="002F50C4" w:rsidRPr="002F50C4" w:rsidRDefault="002F50C4" w:rsidP="002F50C4">
      <w:pPr>
        <w:pStyle w:val="Sraopastraipa"/>
        <w:numPr>
          <w:ilvl w:val="0"/>
          <w:numId w:val="33"/>
        </w:numPr>
        <w:suppressAutoHyphens w:val="0"/>
        <w:autoSpaceDN/>
        <w:spacing w:line="259" w:lineRule="auto"/>
        <w:contextualSpacing/>
        <w:jc w:val="both"/>
        <w:rPr>
          <w:rFonts w:ascii="Times New Roman" w:hAnsi="Times New Roman"/>
          <w:sz w:val="24"/>
          <w:szCs w:val="24"/>
        </w:rPr>
      </w:pPr>
      <w:r w:rsidRPr="002F50C4">
        <w:rPr>
          <w:rFonts w:ascii="Times New Roman" w:hAnsi="Times New Roman"/>
          <w:b/>
          <w:bCs/>
          <w:sz w:val="24"/>
          <w:szCs w:val="24"/>
        </w:rPr>
        <w:t>Pirkimo objektas:</w:t>
      </w:r>
      <w:r w:rsidRPr="002F50C4">
        <w:rPr>
          <w:rFonts w:ascii="Times New Roman" w:hAnsi="Times New Roman"/>
          <w:sz w:val="24"/>
          <w:szCs w:val="24"/>
        </w:rPr>
        <w:t xml:space="preserve"> Priėmimo ir integracijos agentūros (</w:t>
      </w:r>
      <w:r w:rsidRPr="002F50C4">
        <w:rPr>
          <w:rFonts w:ascii="Times New Roman" w:hAnsi="Times New Roman"/>
          <w:i/>
          <w:iCs/>
          <w:sz w:val="24"/>
          <w:szCs w:val="24"/>
        </w:rPr>
        <w:t>toliau – Agentūra</w:t>
      </w:r>
      <w:r w:rsidRPr="002F50C4">
        <w:rPr>
          <w:rFonts w:ascii="Times New Roman" w:hAnsi="Times New Roman"/>
          <w:sz w:val="24"/>
          <w:szCs w:val="24"/>
        </w:rPr>
        <w:t xml:space="preserve">) veiklos žinomumo ir komunikacijos sklaidos analizės atlikimo paslaugos. </w:t>
      </w:r>
    </w:p>
    <w:p w14:paraId="2A712FE6"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Tyrimo tikslas:</w:t>
      </w:r>
      <w:r w:rsidRPr="002F50C4">
        <w:rPr>
          <w:rFonts w:ascii="Times New Roman" w:hAnsi="Times New Roman"/>
          <w:sz w:val="24"/>
          <w:szCs w:val="24"/>
        </w:rPr>
        <w:t xml:space="preserve"> atlikti Agentūros veiklos ir teikiamų paslaugų žinomumo bei komunikacijos sklaidos analizę, nustatyti bazinius (atskaitos) rodiklius ir, remiantis tyrimo rezultatais, suformuluoti siektinus rodiklius (tikslus) 2029 m. pabaigai, kad pakartotinai 2029 m. pabaigoje atliekant tyrimą pagal tą patį 2026 m. klausimyną būtų galima įvertinti Agentūros veiklos žinomumo ir komunikacijos sklaidos pokytį. 2029 m. siektini </w:t>
      </w:r>
      <w:r w:rsidRPr="002F50C4">
        <w:rPr>
          <w:rFonts w:ascii="Times New Roman" w:hAnsi="Times New Roman"/>
          <w:iCs/>
          <w:sz w:val="24"/>
          <w:szCs w:val="24"/>
        </w:rPr>
        <w:t>rodikliai turi būti nustatomi, remiantis tyrimo rezultatais, tarptautine praktika ir pagrįsti sociologine metodika.</w:t>
      </w:r>
    </w:p>
    <w:p w14:paraId="53475808"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 xml:space="preserve">Tikslinės tyrimo grupės: </w:t>
      </w:r>
      <w:r w:rsidRPr="002F50C4">
        <w:rPr>
          <w:rFonts w:ascii="Times New Roman" w:hAnsi="Times New Roman"/>
          <w:bCs/>
          <w:sz w:val="24"/>
          <w:szCs w:val="24"/>
        </w:rPr>
        <w:t xml:space="preserve">Lietuvos </w:t>
      </w:r>
      <w:r w:rsidRPr="002F50C4">
        <w:rPr>
          <w:rFonts w:ascii="Times New Roman" w:hAnsi="Times New Roman"/>
          <w:sz w:val="24"/>
          <w:szCs w:val="24"/>
        </w:rPr>
        <w:t xml:space="preserve">ministerijų, ministerijoms pavaldžios įstaigų, Lietuvos savivaldybių ir joms pavaldžių įstaigų/organizacijų, nevyriausybinių organizacijų, užsieniečių bendruomenių, socialinių paslaugų centrų, paramos centrų, kt. įstaigų darbuotojai,  dirbantys su trečiųjų šalių piliečiais arba asmenimis be pilietybės. Taip pat minėtų įstaigų darbuotojai, nedirbantys su trečiųjų šalių piliečiais arba asmenimis be pilietybės. </w:t>
      </w:r>
    </w:p>
    <w:p w14:paraId="7308FDB3"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 xml:space="preserve">Respondentų atrankos metodas </w:t>
      </w:r>
      <w:r w:rsidRPr="002F50C4">
        <w:rPr>
          <w:rFonts w:ascii="Times New Roman" w:hAnsi="Times New Roman"/>
          <w:bCs/>
          <w:sz w:val="24"/>
          <w:szCs w:val="24"/>
        </w:rPr>
        <w:t>–</w:t>
      </w:r>
      <w:r w:rsidRPr="002F50C4">
        <w:rPr>
          <w:rFonts w:ascii="Times New Roman" w:hAnsi="Times New Roman"/>
          <w:sz w:val="24"/>
          <w:szCs w:val="24"/>
        </w:rPr>
        <w:t xml:space="preserve"> </w:t>
      </w:r>
      <w:r w:rsidRPr="002F50C4">
        <w:rPr>
          <w:rFonts w:ascii="Times New Roman" w:hAnsi="Times New Roman"/>
          <w:bCs/>
          <w:sz w:val="24"/>
          <w:szCs w:val="24"/>
        </w:rPr>
        <w:t>netikimybinė, taikant kombinuotą atrankos metodą:</w:t>
      </w:r>
      <w:r w:rsidRPr="002F50C4">
        <w:rPr>
          <w:rFonts w:ascii="Times New Roman" w:hAnsi="Times New Roman"/>
          <w:b/>
          <w:bCs/>
          <w:sz w:val="24"/>
          <w:szCs w:val="24"/>
        </w:rPr>
        <w:t xml:space="preserve"> </w:t>
      </w:r>
      <w:r w:rsidRPr="002F50C4">
        <w:rPr>
          <w:rFonts w:ascii="Times New Roman" w:hAnsi="Times New Roman"/>
          <w:sz w:val="24"/>
          <w:szCs w:val="24"/>
        </w:rPr>
        <w:t>tikslinę atranką (individualiai atrinktiems respondentams, kuriems klausimynas siunčiamas tiesiogiai elektroniniu paštu) ir savanoriškąją (patogiąją) atranką (respondentams, kurie klausimyną gauna per savo instituciją ir savanoriškai nusprendžia dalyvauti apklausoje).</w:t>
      </w:r>
    </w:p>
    <w:p w14:paraId="3AF9B137"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sz w:val="24"/>
          <w:szCs w:val="24"/>
        </w:rPr>
        <w:t>Tyrimo metodas</w:t>
      </w:r>
      <w:r w:rsidRPr="002F50C4">
        <w:rPr>
          <w:rFonts w:ascii="Times New Roman" w:hAnsi="Times New Roman"/>
          <w:sz w:val="24"/>
          <w:szCs w:val="24"/>
        </w:rPr>
        <w:t xml:space="preserve"> – kiekybinis tyrimas.</w:t>
      </w:r>
    </w:p>
    <w:p w14:paraId="1810681E"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Style w:val="Grietas"/>
          <w:rFonts w:ascii="Times New Roman" w:eastAsiaTheme="majorEastAsia" w:hAnsi="Times New Roman"/>
          <w:sz w:val="24"/>
          <w:szCs w:val="24"/>
        </w:rPr>
        <w:t>Duomenų rinkimo metodas</w:t>
      </w:r>
      <w:r w:rsidRPr="002F50C4">
        <w:rPr>
          <w:rFonts w:ascii="Times New Roman" w:hAnsi="Times New Roman"/>
          <w:sz w:val="24"/>
          <w:szCs w:val="24"/>
        </w:rPr>
        <w:t xml:space="preserve"> – </w:t>
      </w:r>
      <w:r w:rsidRPr="002F50C4">
        <w:rPr>
          <w:rStyle w:val="Grietas"/>
          <w:rFonts w:ascii="Times New Roman" w:eastAsiaTheme="majorEastAsia" w:hAnsi="Times New Roman"/>
          <w:sz w:val="24"/>
          <w:szCs w:val="24"/>
        </w:rPr>
        <w:t>internetinė standartizuota anketinė apklausa</w:t>
      </w:r>
      <w:r w:rsidRPr="002F50C4">
        <w:rPr>
          <w:rFonts w:ascii="Times New Roman" w:hAnsi="Times New Roman"/>
          <w:sz w:val="24"/>
          <w:szCs w:val="24"/>
        </w:rPr>
        <w:t>, naudojant elektroninį klausimyną, kuris respondentams pateikiamas internetinėje erdvėje.</w:t>
      </w:r>
    </w:p>
    <w:p w14:paraId="48771845"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 xml:space="preserve">Tyrimo imtis: </w:t>
      </w:r>
      <w:r w:rsidRPr="002F50C4">
        <w:rPr>
          <w:rFonts w:ascii="Times New Roman" w:hAnsi="Times New Roman"/>
          <w:sz w:val="24"/>
          <w:szCs w:val="24"/>
        </w:rPr>
        <w:t>100 apklaustų tikslinės grupės respondentų, dirbančių su trečiųjų šalių piliečiais arba asmenimis be pilietybės ir 100 apklaustų tikslinės grupės respondentų, nedirbančių su trečiųjų šalių piliečiais arba asmenimis be pilietybės. Iš viso turi būti apklaustų 200  tikslinių  grupių respondentų (pilnai atsakiusių į apklausos klausimus). Subalansuota grupių imtis formuojama, siekiant užtikrinti abiejų respondentų grupių rezultatų palyginamumą. Tyrimo rezultatai pagal šias grupes analizuojami ir pateikiami atskirai. Paslaugos vykdytojas pateikia užsakovui motyvuotas rekomendacijas dėl šiame punkte nurodytos imties dydžio ir jų pasiskirstymo tarp tikslinių auditorijų bei respondentų kvotų (</w:t>
      </w:r>
      <w:r w:rsidRPr="002F50C4">
        <w:rPr>
          <w:rStyle w:val="Grietas"/>
          <w:rFonts w:ascii="Times New Roman" w:eastAsiaTheme="majorEastAsia" w:hAnsi="Times New Roman"/>
          <w:sz w:val="24"/>
          <w:szCs w:val="24"/>
        </w:rPr>
        <w:t>pagal institucijų tipus</w:t>
      </w:r>
      <w:r w:rsidRPr="002F50C4">
        <w:rPr>
          <w:rFonts w:ascii="Times New Roman" w:hAnsi="Times New Roman"/>
          <w:sz w:val="24"/>
          <w:szCs w:val="24"/>
        </w:rPr>
        <w:t xml:space="preserve"> ir, jeigu reikia pasiekti tyrimo tikslus, pagal regionus), siekiant užtikrinti tyrimo tikslų įgyvendinimą ir rezultatų patikimumą; galutinis sprendimas priimamas šalių bendru sutarimu. </w:t>
      </w:r>
      <w:r w:rsidRPr="002F50C4">
        <w:rPr>
          <w:rFonts w:ascii="Times New Roman" w:hAnsi="Times New Roman"/>
          <w:iCs/>
          <w:sz w:val="24"/>
          <w:szCs w:val="24"/>
        </w:rPr>
        <w:t>Jeigu, nepaisant paslaugos teikėjo ir užsakovo atliktų veiksmų, nepavyksta surinkti numatyto respondentų skaičiaus, paslaugos teikėjas atlieka tyrimo analizę pagal faktiškai surinktą imtį, įvertina jos reprezentatyvumą, apribojimus ir poveikį rezultatų interpretavimui.</w:t>
      </w:r>
    </w:p>
    <w:p w14:paraId="1BEAF2F3"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 xml:space="preserve">Tyrimo lokacija: </w:t>
      </w:r>
      <w:r w:rsidRPr="002F50C4">
        <w:rPr>
          <w:rFonts w:ascii="Times New Roman" w:hAnsi="Times New Roman"/>
          <w:sz w:val="24"/>
          <w:szCs w:val="24"/>
        </w:rPr>
        <w:t xml:space="preserve">Visa šalies teritorija, visos Lietuvos apskritys. </w:t>
      </w:r>
    </w:p>
    <w:p w14:paraId="1F770CA0"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 xml:space="preserve">Anketos klausimynas: </w:t>
      </w:r>
      <w:r w:rsidRPr="002F50C4">
        <w:rPr>
          <w:rFonts w:ascii="Times New Roman" w:hAnsi="Times New Roman"/>
          <w:bCs/>
          <w:sz w:val="24"/>
          <w:szCs w:val="24"/>
        </w:rPr>
        <w:t xml:space="preserve">apklausos klausimus pagal sociologinius kriterijus ir tyrimo tikslus suformuluoja paslaugos vykdytojas ir klausimyną derina su paslaugos užsakovu. </w:t>
      </w:r>
      <w:r w:rsidRPr="002F50C4">
        <w:rPr>
          <w:rFonts w:ascii="Times New Roman" w:hAnsi="Times New Roman"/>
          <w:sz w:val="24"/>
          <w:szCs w:val="24"/>
        </w:rPr>
        <w:t xml:space="preserve">Paslaugos </w:t>
      </w:r>
      <w:r w:rsidRPr="002F50C4">
        <w:rPr>
          <w:rFonts w:ascii="Times New Roman" w:hAnsi="Times New Roman"/>
          <w:sz w:val="24"/>
          <w:szCs w:val="24"/>
        </w:rPr>
        <w:lastRenderedPageBreak/>
        <w:t xml:space="preserve">užsakovui vykdytojas pateikia derinti klausimyną su trumpu paaiškinimu, kokį rodiklį matuoja kiekvienas klausimas. </w:t>
      </w:r>
      <w:r w:rsidRPr="002F50C4">
        <w:rPr>
          <w:rFonts w:ascii="Times New Roman" w:hAnsi="Times New Roman"/>
          <w:bCs/>
          <w:sz w:val="24"/>
          <w:szCs w:val="24"/>
        </w:rPr>
        <w:t xml:space="preserve">Po pastabų pateikimo, paslaugos vykdytojas klausimyną turi pataisyti ir galutinai suderinti per 5 darbo dienas. Klausimyną turi sudaryti 15-17 įvairaus tipo klausimų, padedančių įvertinti respondento profilį, Agentūros žinomumą, bendravimo su Agentūra patirtį, komunikacijos sklaidos efektyvumą. Pakartotinę tokią pat apklausą yra numatyta atlikti ir 2029 m., todėl 2026 m. apklausos klausimai turi būti pamatuojami, palyginami ir aktualūs 2029 m, </w:t>
      </w:r>
      <w:r w:rsidRPr="002F50C4">
        <w:rPr>
          <w:rFonts w:ascii="Times New Roman" w:hAnsi="Times New Roman"/>
          <w:sz w:val="24"/>
          <w:szCs w:val="24"/>
        </w:rPr>
        <w:t xml:space="preserve">klausimynas turi būti standartizuotas. </w:t>
      </w:r>
    </w:p>
    <w:p w14:paraId="352C2061"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Cs/>
          <w:sz w:val="24"/>
          <w:szCs w:val="24"/>
        </w:rPr>
        <w:t xml:space="preserve">Paslaugos vykdytojas turės sukurti internetinę nuorodą (patalpinti su paslaugos užsakovu suderintą klausimyną) ir tą nuorodą platinimui atiduoti Priėmimo ir integracijos agentūrai. Agentūros tyrimo vykdymui priskirtas darbuotojas yra atsakingas už abiejų tyrimo tikslinių grupių elektroninių paštų surinkimą ir tyrimo anketos platinimą </w:t>
      </w:r>
      <w:r w:rsidRPr="002F50C4">
        <w:rPr>
          <w:rFonts w:ascii="Times New Roman" w:hAnsi="Times New Roman"/>
          <w:sz w:val="24"/>
          <w:szCs w:val="24"/>
        </w:rPr>
        <w:t xml:space="preserve">2026 m. rugsėjo 14 d. – spalio 9 d. laikotarpiu. </w:t>
      </w:r>
      <w:r w:rsidRPr="002F50C4">
        <w:rPr>
          <w:rFonts w:ascii="Times New Roman" w:hAnsi="Times New Roman"/>
          <w:bCs/>
          <w:sz w:val="24"/>
          <w:szCs w:val="24"/>
        </w:rPr>
        <w:t xml:space="preserve">Agentūros darbuotojas platina anketą tikslinėms grupėms, pakartotinai siunčia priminimus iki 3 kartų tyrimo laikotarpiu. Pasibaigus apklausos laikotarpiui, paslaugos vykdytojas iš anketų surenka duomenis, juos profesionaliai išanalizuoja, parengia tyrimo ataskaitą, rekomendacijas, siektinus rodiklius (tikslus) Agentūros žinomumo ir komunikacijos sklaidai didinti. </w:t>
      </w:r>
      <w:r w:rsidRPr="002F50C4">
        <w:rPr>
          <w:rFonts w:ascii="Times New Roman" w:hAnsi="Times New Roman"/>
          <w:sz w:val="24"/>
          <w:szCs w:val="24"/>
        </w:rPr>
        <w:t>Baigto tyrimo analizė turi būti pristatyta Agentūros vadovams gyvo arba nuotolinio susitikimo metu. Jei pristatymas bus vykdomas nuotoliu, Agentūra tyrimo pristatymą įsirašys, kad būtų galima panaudoti vidiniais Agentūros tikslais pvz., planuojant pakartotinius tokius pat tyrimus ir apklausas.</w:t>
      </w:r>
    </w:p>
    <w:p w14:paraId="78E3034D"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Tyrimo duomenų pateikimas</w:t>
      </w:r>
      <w:r w:rsidRPr="002F50C4">
        <w:rPr>
          <w:rFonts w:ascii="Times New Roman" w:hAnsi="Times New Roman"/>
          <w:sz w:val="24"/>
          <w:szCs w:val="24"/>
        </w:rPr>
        <w:t xml:space="preserve">: ataskaitoje pateikiamos tyrimo rezultatų vizualizacijos, aprašyta tyrimo metodika, imtis, tyrimo ribotumai, duomenų analizė (reikšmingų skirtumų pagal respondentų socialines-demografines charakteristikas analizė), siūlomų rodiklių (tikslų) apskaičiavimo metodika, rekomendacijos ir apibendrinimai bei rezultatų pagal respondentų socialines-demografines charakteristikas lentelės (pateikiama pristatymo versija PowerPoint formatu (bent 20 skaidrių, atskleidžiančių tyrimo esmę), o visa profesionaliai ir išsamiai aprašyta tyrimo eiga bei metodologija - Word formatu, respondentų įvairios tyrimo lentelės – Word formato ataskaitos prieduose). </w:t>
      </w:r>
      <w:r w:rsidRPr="002F50C4">
        <w:rPr>
          <w:rFonts w:ascii="Times New Roman" w:hAnsi="Times New Roman"/>
          <w:bCs/>
          <w:sz w:val="24"/>
          <w:szCs w:val="24"/>
          <w:lang w:eastAsia="ru-RU"/>
        </w:rPr>
        <w:t xml:space="preserve">Kartu su ataskaita turi būti pateikti atliktų tyrimų metu surinkti </w:t>
      </w:r>
      <w:r w:rsidRPr="002F50C4">
        <w:rPr>
          <w:rFonts w:ascii="Times New Roman" w:hAnsi="Times New Roman"/>
          <w:sz w:val="24"/>
          <w:szCs w:val="24"/>
        </w:rPr>
        <w:t>pirminiai duomenys</w:t>
      </w:r>
      <w:r w:rsidRPr="002F50C4">
        <w:rPr>
          <w:rFonts w:ascii="Times New Roman" w:hAnsi="Times New Roman"/>
          <w:bCs/>
          <w:sz w:val="24"/>
          <w:szCs w:val="24"/>
          <w:lang w:eastAsia="ru-RU"/>
        </w:rPr>
        <w:t>, respondentų atsakymai .</w:t>
      </w:r>
      <w:proofErr w:type="spellStart"/>
      <w:r w:rsidRPr="002F50C4">
        <w:rPr>
          <w:rFonts w:ascii="Times New Roman" w:hAnsi="Times New Roman"/>
          <w:bCs/>
          <w:sz w:val="24"/>
          <w:szCs w:val="24"/>
          <w:lang w:eastAsia="ru-RU"/>
        </w:rPr>
        <w:t>xls</w:t>
      </w:r>
      <w:proofErr w:type="spellEnd"/>
      <w:r w:rsidRPr="002F50C4">
        <w:rPr>
          <w:rFonts w:ascii="Times New Roman" w:hAnsi="Times New Roman"/>
          <w:bCs/>
          <w:sz w:val="24"/>
          <w:szCs w:val="24"/>
          <w:lang w:eastAsia="ru-RU"/>
        </w:rPr>
        <w:t xml:space="preserve"> formatu, </w:t>
      </w:r>
      <w:r w:rsidRPr="002F50C4">
        <w:rPr>
          <w:rFonts w:ascii="Times New Roman" w:hAnsi="Times New Roman"/>
          <w:sz w:val="24"/>
          <w:szCs w:val="24"/>
        </w:rPr>
        <w:t xml:space="preserve">galutinis klausimynas su trumpu paaiškinimu, kokį rodiklį matuoja kiekvienas klausimas, duomenų kodavimo informacija, redaguojamos ataskaitos. </w:t>
      </w:r>
    </w:p>
    <w:p w14:paraId="3802878D"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sz w:val="24"/>
          <w:szCs w:val="24"/>
        </w:rPr>
        <w:t>Ataskaitos kalba:</w:t>
      </w:r>
      <w:r w:rsidRPr="002F50C4">
        <w:rPr>
          <w:rFonts w:ascii="Times New Roman" w:hAnsi="Times New Roman"/>
          <w:sz w:val="24"/>
          <w:szCs w:val="24"/>
        </w:rPr>
        <w:t xml:space="preserve"> lietuvių.</w:t>
      </w:r>
    </w:p>
    <w:p w14:paraId="5416F953" w14:textId="77777777" w:rsidR="002F50C4" w:rsidRPr="002F50C4" w:rsidRDefault="002F50C4" w:rsidP="002F50C4">
      <w:pPr>
        <w:pStyle w:val="Sraopastraipa"/>
        <w:numPr>
          <w:ilvl w:val="0"/>
          <w:numId w:val="33"/>
        </w:numPr>
        <w:suppressAutoHyphens w:val="0"/>
        <w:autoSpaceDN/>
        <w:spacing w:after="0"/>
        <w:jc w:val="both"/>
        <w:rPr>
          <w:rFonts w:ascii="Times New Roman" w:hAnsi="Times New Roman"/>
          <w:sz w:val="24"/>
          <w:szCs w:val="24"/>
        </w:rPr>
      </w:pPr>
      <w:r w:rsidRPr="002F50C4">
        <w:rPr>
          <w:rFonts w:ascii="Times New Roman" w:hAnsi="Times New Roman"/>
          <w:b/>
          <w:bCs/>
          <w:sz w:val="24"/>
          <w:szCs w:val="24"/>
        </w:rPr>
        <w:t>Tyrimo trukmė ir galutinių atskaitų pateikimo terminai:</w:t>
      </w:r>
      <w:r w:rsidRPr="002F50C4">
        <w:rPr>
          <w:rFonts w:ascii="Times New Roman" w:hAnsi="Times New Roman"/>
          <w:sz w:val="24"/>
          <w:szCs w:val="24"/>
        </w:rPr>
        <w:t xml:space="preserve"> paslaugos vykdytojas apklausos klausimyną suformuluoja ir galutinai suderina su užsakovu iki 2026 m. rugpjūčio 31 d., suformuluoja ir suprogramuoja internetinės apklausos nuorodą bei atiduoda paslaugos užsakovui apklausos vykdymui iki 2026 m. rugsėjo 7 d. Agentūra respondentų apklausą vykdo 2026 m. rugsėjo 14 d. – spalio 9 d. (20 darbo dienų). Pasibaigus apklausos laikotarpiui, </w:t>
      </w:r>
      <w:r w:rsidRPr="002F50C4">
        <w:rPr>
          <w:rFonts w:ascii="Times New Roman" w:hAnsi="Times New Roman"/>
          <w:bCs/>
          <w:sz w:val="24"/>
          <w:szCs w:val="24"/>
        </w:rPr>
        <w:t xml:space="preserve">paslaugos vykdytojas iš anketų surenka duomenis, juos profesionaliai išanalizuoja, parengia tyrimo ataskaitas, rekomendacijas, siektinus rodiklius (tikslus) Agentūros žinomumo ir komunikacijos sklaidai didinti, tyrimo rezultatus pristato Agentūros vadovybei, perduoda visą su tyrimo medžiaga susijusią informaciją bei pasirašo paslaugų perdavimo-priėmimo aktą ne vėliau kaip iki 2026 m. lapkričio 10 d. </w:t>
      </w:r>
    </w:p>
    <w:p w14:paraId="1067BB79" w14:textId="77777777" w:rsidR="002F50C4" w:rsidRPr="002F50C4" w:rsidRDefault="002F50C4" w:rsidP="002F50C4">
      <w:pPr>
        <w:pStyle w:val="Sraopastraipa"/>
        <w:numPr>
          <w:ilvl w:val="0"/>
          <w:numId w:val="33"/>
        </w:numPr>
        <w:tabs>
          <w:tab w:val="center" w:pos="4677"/>
          <w:tab w:val="right" w:pos="9355"/>
        </w:tabs>
        <w:suppressAutoHyphens w:val="0"/>
        <w:autoSpaceDN/>
        <w:spacing w:after="0"/>
        <w:jc w:val="both"/>
        <w:rPr>
          <w:rFonts w:ascii="Times New Roman" w:hAnsi="Times New Roman"/>
          <w:bCs/>
          <w:sz w:val="24"/>
          <w:szCs w:val="24"/>
        </w:rPr>
      </w:pPr>
      <w:r w:rsidRPr="002F50C4">
        <w:rPr>
          <w:rFonts w:ascii="Times New Roman" w:hAnsi="Times New Roman"/>
          <w:bCs/>
          <w:sz w:val="24"/>
          <w:szCs w:val="24"/>
        </w:rPr>
        <w:t xml:space="preserve">Agentūra, ne daugiau nei 5 (penkias) darbo dienas nuo išvadų pateikimo dienos, turi teisę tikslintis ir gauti atsakymus iš Paslaugos teikėjo dėl suteiktos paslaugos rezultatų ir ataskaitos tinkamumo reikalavimams. </w:t>
      </w:r>
    </w:p>
    <w:p w14:paraId="768FCE05" w14:textId="6DC1AD2E" w:rsidR="002F50C4" w:rsidRPr="002F50C4" w:rsidRDefault="002F50C4" w:rsidP="002F50C4">
      <w:pPr>
        <w:pStyle w:val="Sraopastraipa"/>
        <w:numPr>
          <w:ilvl w:val="0"/>
          <w:numId w:val="33"/>
        </w:numPr>
        <w:tabs>
          <w:tab w:val="center" w:pos="4677"/>
          <w:tab w:val="right" w:pos="9355"/>
        </w:tabs>
        <w:suppressAutoHyphens w:val="0"/>
        <w:autoSpaceDN/>
        <w:spacing w:after="0"/>
        <w:jc w:val="both"/>
        <w:rPr>
          <w:rFonts w:ascii="Times New Roman" w:hAnsi="Times New Roman"/>
          <w:bCs/>
          <w:sz w:val="24"/>
          <w:szCs w:val="24"/>
        </w:rPr>
      </w:pPr>
      <w:r w:rsidRPr="002F50C4">
        <w:rPr>
          <w:rFonts w:ascii="Times New Roman" w:hAnsi="Times New Roman"/>
          <w:bCs/>
          <w:sz w:val="24"/>
          <w:szCs w:val="24"/>
        </w:rPr>
        <w:t>Visi apklausų duomenys tampa Agentūros nuosavybe ir gali būti skelbiami nuo tyrimo ataskaitos perdavimo Agentūrai dienos. Agentūra gali perleisti paslaugų rezultatus tretiesiems asmenims be paslaugų teikėjo atskiro sutikimo arba kitaip jais disponuoti neribotą laikotarpį neribotoje teritorijoje. Skelbiant tyrimų duomenis viešojoje erdvėje, nurodomas paslaugų teikėjas.</w:t>
      </w:r>
    </w:p>
    <w:p w14:paraId="3A1DA377" w14:textId="193FD3BA" w:rsidR="002F50C4" w:rsidRPr="002F50C4" w:rsidRDefault="002F50C4" w:rsidP="002F50C4">
      <w:pPr>
        <w:pStyle w:val="Sraopastraipa"/>
        <w:numPr>
          <w:ilvl w:val="0"/>
          <w:numId w:val="33"/>
        </w:numPr>
        <w:tabs>
          <w:tab w:val="center" w:pos="4677"/>
          <w:tab w:val="right" w:pos="9355"/>
        </w:tabs>
        <w:suppressAutoHyphens w:val="0"/>
        <w:autoSpaceDN/>
        <w:spacing w:after="0"/>
        <w:jc w:val="both"/>
        <w:rPr>
          <w:rFonts w:ascii="Times New Roman" w:hAnsi="Times New Roman"/>
          <w:bCs/>
          <w:sz w:val="24"/>
          <w:szCs w:val="24"/>
        </w:rPr>
      </w:pPr>
      <w:r w:rsidRPr="002F50C4">
        <w:rPr>
          <w:rFonts w:ascii="Times New Roman" w:hAnsi="Times New Roman"/>
          <w:bCs/>
          <w:sz w:val="24"/>
          <w:szCs w:val="24"/>
        </w:rPr>
        <w:t>Paslaugų teikėjas įsipareigoja neatskleisti, neperduoti ar kitokiu būdu neperleisti tretiesiems asmenims tyrimo duomenų, rezultatų ir kitos iš Agentūros paslaugoms teikti gautos informacijos</w:t>
      </w:r>
      <w:r w:rsidRPr="002F50C4">
        <w:rPr>
          <w:rFonts w:ascii="Times New Roman" w:hAnsi="Times New Roman"/>
          <w:bCs/>
          <w:sz w:val="24"/>
          <w:szCs w:val="24"/>
        </w:rPr>
        <w:t>.</w:t>
      </w:r>
    </w:p>
    <w:p w14:paraId="2AD04656" w14:textId="4BE2A564" w:rsidR="00CC4AF3" w:rsidRPr="006E71BE" w:rsidRDefault="00CC4AF3" w:rsidP="002F50C4">
      <w:pPr>
        <w:jc w:val="center"/>
        <w:rPr>
          <w:rFonts w:ascii="Times New Roman" w:hAnsi="Times New Roman"/>
          <w:b/>
          <w:bCs/>
          <w:sz w:val="24"/>
          <w:szCs w:val="24"/>
        </w:rPr>
      </w:pPr>
    </w:p>
    <w:p w14:paraId="62A833A1" w14:textId="6C5B14D0" w:rsidR="00CC4AF3" w:rsidRPr="007A4A7D" w:rsidRDefault="00CC4AF3" w:rsidP="007A4A7D">
      <w:pPr>
        <w:suppressAutoHyphens w:val="0"/>
        <w:overflowPunct w:val="0"/>
        <w:autoSpaceDE w:val="0"/>
        <w:adjustRightInd w:val="0"/>
        <w:spacing w:after="200" w:line="276" w:lineRule="auto"/>
        <w:contextualSpacing/>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CC4AF3" w:rsidRPr="003B06A2" w14:paraId="0F475B75" w14:textId="77777777" w:rsidTr="001A2BD8">
        <w:trPr>
          <w:trHeight w:val="285"/>
        </w:trPr>
        <w:tc>
          <w:tcPr>
            <w:tcW w:w="3284" w:type="dxa"/>
            <w:tcBorders>
              <w:top w:val="nil"/>
              <w:left w:val="nil"/>
              <w:bottom w:val="single" w:sz="4" w:space="0" w:color="auto"/>
              <w:right w:val="nil"/>
            </w:tcBorders>
          </w:tcPr>
          <w:p w14:paraId="00429136"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p w14:paraId="14C96F08"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tc>
        <w:tc>
          <w:tcPr>
            <w:tcW w:w="604" w:type="dxa"/>
          </w:tcPr>
          <w:p w14:paraId="0EB5320B"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84D9150"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701" w:type="dxa"/>
          </w:tcPr>
          <w:p w14:paraId="32CC9ABD"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E590732"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c>
          <w:tcPr>
            <w:tcW w:w="648" w:type="dxa"/>
          </w:tcPr>
          <w:p w14:paraId="6875EE64"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r>
      <w:tr w:rsidR="00CC4AF3" w:rsidRPr="003B06A2" w14:paraId="22B97AAF" w14:textId="77777777" w:rsidTr="001A2BD8">
        <w:trPr>
          <w:trHeight w:val="596"/>
        </w:trPr>
        <w:tc>
          <w:tcPr>
            <w:tcW w:w="3284" w:type="dxa"/>
            <w:tcBorders>
              <w:top w:val="single" w:sz="4" w:space="0" w:color="auto"/>
              <w:left w:val="nil"/>
              <w:bottom w:val="nil"/>
              <w:right w:val="nil"/>
            </w:tcBorders>
          </w:tcPr>
          <w:p w14:paraId="3F8C44E9" w14:textId="77777777" w:rsidR="00CC4AF3" w:rsidRPr="003B06A2" w:rsidRDefault="00CC4AF3" w:rsidP="001A2BD8">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033C7B56"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425439CE"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343A6A15"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00474BB"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5FF0041"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r>
    </w:tbl>
    <w:p w14:paraId="7FEB530E" w14:textId="77777777" w:rsidR="00FC3A88" w:rsidRPr="00CC4AF3" w:rsidRDefault="00FC3A88" w:rsidP="00FC3A88">
      <w:pPr>
        <w:tabs>
          <w:tab w:val="right" w:leader="underscore" w:pos="8505"/>
        </w:tabs>
        <w:jc w:val="center"/>
        <w:rPr>
          <w:rFonts w:ascii="Times New Roman" w:eastAsia="Times New Roman" w:hAnsi="Times New Roman"/>
          <w:b/>
          <w:sz w:val="24"/>
          <w:szCs w:val="24"/>
        </w:rPr>
      </w:pPr>
    </w:p>
    <w:sectPr w:rsidR="00FC3A88" w:rsidRPr="00CC4AF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1D0073"/>
    <w:multiLevelType w:val="hybridMultilevel"/>
    <w:tmpl w:val="C89A3828"/>
    <w:lvl w:ilvl="0" w:tplc="0427000F">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1"/>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0"/>
  </w:num>
  <w:num w:numId="19">
    <w:abstractNumId w:val="32"/>
  </w:num>
  <w:num w:numId="20">
    <w:abstractNumId w:val="11"/>
  </w:num>
  <w:num w:numId="21">
    <w:abstractNumId w:val="29"/>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19D9"/>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3873"/>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0C4"/>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7649F"/>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1BE"/>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58CF"/>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A7D"/>
    <w:rsid w:val="007A4FB1"/>
    <w:rsid w:val="007A5E13"/>
    <w:rsid w:val="007A701D"/>
    <w:rsid w:val="007B1CAB"/>
    <w:rsid w:val="007B414A"/>
    <w:rsid w:val="007B4AF0"/>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352"/>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15E6"/>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3D7E"/>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2AE"/>
    <w:rsid w:val="00B34373"/>
    <w:rsid w:val="00B344F3"/>
    <w:rsid w:val="00B40BB0"/>
    <w:rsid w:val="00B42142"/>
    <w:rsid w:val="00B459C9"/>
    <w:rsid w:val="00B46C37"/>
    <w:rsid w:val="00B47C2A"/>
    <w:rsid w:val="00B53C27"/>
    <w:rsid w:val="00B5443D"/>
    <w:rsid w:val="00B54713"/>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4AF3"/>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481E"/>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4AF3"/>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customStyle="1" w:styleId="elementtoproof">
    <w:name w:val="elementtoproof"/>
    <w:basedOn w:val="prastasis"/>
    <w:rsid w:val="00CC4AF3"/>
    <w:pPr>
      <w:suppressAutoHyphens w:val="0"/>
      <w:autoSpaceDN/>
      <w:spacing w:after="0"/>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1662">
      <w:bodyDiv w:val="1"/>
      <w:marLeft w:val="0"/>
      <w:marRight w:val="0"/>
      <w:marTop w:val="0"/>
      <w:marBottom w:val="0"/>
      <w:divBdr>
        <w:top w:val="none" w:sz="0" w:space="0" w:color="auto"/>
        <w:left w:val="none" w:sz="0" w:space="0" w:color="auto"/>
        <w:bottom w:val="none" w:sz="0" w:space="0" w:color="auto"/>
        <w:right w:val="none" w:sz="0" w:space="0" w:color="auto"/>
      </w:divBdr>
    </w:div>
    <w:div w:id="767038709">
      <w:bodyDiv w:val="1"/>
      <w:marLeft w:val="0"/>
      <w:marRight w:val="0"/>
      <w:marTop w:val="0"/>
      <w:marBottom w:val="0"/>
      <w:divBdr>
        <w:top w:val="none" w:sz="0" w:space="0" w:color="auto"/>
        <w:left w:val="none" w:sz="0" w:space="0" w:color="auto"/>
        <w:bottom w:val="none" w:sz="0" w:space="0" w:color="auto"/>
        <w:right w:val="none" w:sz="0" w:space="0" w:color="auto"/>
      </w:divBdr>
    </w:div>
    <w:div w:id="848787485">
      <w:bodyDiv w:val="1"/>
      <w:marLeft w:val="0"/>
      <w:marRight w:val="0"/>
      <w:marTop w:val="0"/>
      <w:marBottom w:val="0"/>
      <w:divBdr>
        <w:top w:val="none" w:sz="0" w:space="0" w:color="auto"/>
        <w:left w:val="none" w:sz="0" w:space="0" w:color="auto"/>
        <w:bottom w:val="none" w:sz="0" w:space="0" w:color="auto"/>
        <w:right w:val="none" w:sz="0" w:space="0" w:color="auto"/>
      </w:divBdr>
    </w:div>
    <w:div w:id="1002463939">
      <w:bodyDiv w:val="1"/>
      <w:marLeft w:val="0"/>
      <w:marRight w:val="0"/>
      <w:marTop w:val="0"/>
      <w:marBottom w:val="0"/>
      <w:divBdr>
        <w:top w:val="none" w:sz="0" w:space="0" w:color="auto"/>
        <w:left w:val="none" w:sz="0" w:space="0" w:color="auto"/>
        <w:bottom w:val="none" w:sz="0" w:space="0" w:color="auto"/>
        <w:right w:val="none" w:sz="0" w:space="0" w:color="auto"/>
      </w:divBdr>
    </w:div>
    <w:div w:id="1066297975">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0964985">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 w:id="212318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schemas.microsoft.com/office/infopath/2007/PartnerControls"/>
    <ds:schemaRef ds:uri="http://purl.org/dc/terms/"/>
    <ds:schemaRef ds:uri="http://www.w3.org/XML/1998/namespace"/>
    <ds:schemaRef ds:uri="1dfd7ada-1fc0-4ec4-a980-6dd88fb76a22"/>
    <ds:schemaRef ds:uri="http://purl.org/dc/elements/1.1/"/>
    <ds:schemaRef ds:uri="http://purl.org/dc/dcmitype/"/>
    <ds:schemaRef ds:uri="http://schemas.microsoft.com/office/2006/documentManagement/types"/>
    <ds:schemaRef ds:uri="http://schemas.openxmlformats.org/package/2006/metadata/core-properties"/>
    <ds:schemaRef ds:uri="d44e4088-9f89-4dfc-868c-5b1bb7340ab6"/>
    <ds:schemaRef ds:uri="http://schemas.microsoft.com/office/2006/metadata/propertie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9E828ADC-B11F-41A1-AB3E-BC77F6DE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13</Pages>
  <Words>21110</Words>
  <Characters>12034</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73</cp:revision>
  <cp:lastPrinted>2018-01-08T07:51:00Z</cp:lastPrinted>
  <dcterms:created xsi:type="dcterms:W3CDTF">2025-02-10T12:12:00Z</dcterms:created>
  <dcterms:modified xsi:type="dcterms:W3CDTF">2026-07-30T07:20:00Z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